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61AD" w:rsidRDefault="004961AD" w:rsidP="004961AD">
      <w:pPr>
        <w:spacing w:before="130" w:line="271" w:lineRule="exact"/>
        <w:ind w:right="1619"/>
        <w:jc w:val="center"/>
        <w:rPr>
          <w:b/>
          <w:sz w:val="27"/>
        </w:rPr>
      </w:pPr>
      <w:r>
        <w:rPr>
          <w:b/>
          <w:color w:val="2679B3"/>
          <w:w w:val="105"/>
          <w:sz w:val="27"/>
        </w:rPr>
        <w:t xml:space="preserve">              R</w:t>
      </w:r>
      <w:r>
        <w:rPr>
          <w:b/>
          <w:color w:val="5987B1"/>
          <w:w w:val="105"/>
          <w:sz w:val="27"/>
        </w:rPr>
        <w:t>E</w:t>
      </w:r>
      <w:r>
        <w:rPr>
          <w:b/>
          <w:color w:val="2679B3"/>
          <w:w w:val="105"/>
          <w:sz w:val="27"/>
        </w:rPr>
        <w:t>P</w:t>
      </w:r>
      <w:r>
        <w:rPr>
          <w:b/>
          <w:color w:val="5987B1"/>
          <w:w w:val="105"/>
          <w:sz w:val="27"/>
        </w:rPr>
        <w:t>UBL</w:t>
      </w:r>
      <w:r>
        <w:rPr>
          <w:b/>
          <w:color w:val="2679B3"/>
          <w:w w:val="105"/>
          <w:sz w:val="27"/>
        </w:rPr>
        <w:t>I</w:t>
      </w:r>
      <w:r>
        <w:rPr>
          <w:b/>
          <w:color w:val="5987B1"/>
          <w:w w:val="105"/>
          <w:sz w:val="27"/>
        </w:rPr>
        <w:t>C</w:t>
      </w:r>
      <w:r>
        <w:rPr>
          <w:b/>
          <w:color w:val="5987B1"/>
          <w:spacing w:val="-7"/>
          <w:w w:val="105"/>
          <w:sz w:val="27"/>
        </w:rPr>
        <w:t xml:space="preserve"> </w:t>
      </w:r>
      <w:r>
        <w:rPr>
          <w:b/>
          <w:color w:val="5987B1"/>
          <w:w w:val="105"/>
          <w:sz w:val="27"/>
        </w:rPr>
        <w:t>OF</w:t>
      </w:r>
      <w:r>
        <w:rPr>
          <w:b/>
          <w:color w:val="5987B1"/>
          <w:spacing w:val="-22"/>
          <w:w w:val="105"/>
          <w:sz w:val="27"/>
        </w:rPr>
        <w:t xml:space="preserve"> </w:t>
      </w:r>
      <w:r>
        <w:rPr>
          <w:b/>
          <w:color w:val="5987B1"/>
          <w:spacing w:val="-2"/>
          <w:w w:val="105"/>
          <w:sz w:val="27"/>
        </w:rPr>
        <w:t>LIBE</w:t>
      </w:r>
      <w:r>
        <w:rPr>
          <w:b/>
          <w:color w:val="2679B3"/>
          <w:spacing w:val="-2"/>
          <w:w w:val="105"/>
          <w:sz w:val="27"/>
        </w:rPr>
        <w:t>R</w:t>
      </w:r>
      <w:r>
        <w:rPr>
          <w:b/>
          <w:color w:val="5987B1"/>
          <w:spacing w:val="-2"/>
          <w:w w:val="105"/>
          <w:sz w:val="27"/>
        </w:rPr>
        <w:t>IA</w:t>
      </w:r>
    </w:p>
    <w:p w:rsidR="004961AD" w:rsidRDefault="004961AD" w:rsidP="004961AD">
      <w:pPr>
        <w:pStyle w:val="Title"/>
        <w:jc w:val="center"/>
      </w:pPr>
      <w:r>
        <w:rPr>
          <w:color w:val="2679B3"/>
          <w:w w:val="80"/>
        </w:rPr>
        <w:t>MINISTRY</w:t>
      </w:r>
      <w:r>
        <w:rPr>
          <w:color w:val="2679B3"/>
          <w:spacing w:val="-8"/>
        </w:rPr>
        <w:t xml:space="preserve"> </w:t>
      </w:r>
      <w:r>
        <w:rPr>
          <w:color w:val="2679B3"/>
          <w:w w:val="80"/>
        </w:rPr>
        <w:t>OF</w:t>
      </w:r>
      <w:r>
        <w:rPr>
          <w:color w:val="2679B3"/>
          <w:spacing w:val="-18"/>
          <w:w w:val="80"/>
        </w:rPr>
        <w:t xml:space="preserve"> </w:t>
      </w:r>
      <w:r>
        <w:rPr>
          <w:color w:val="2679B3"/>
          <w:spacing w:val="-2"/>
          <w:w w:val="80"/>
        </w:rPr>
        <w:t>HEALTH</w:t>
      </w:r>
    </w:p>
    <w:p w:rsidR="004961AD" w:rsidRDefault="004961AD" w:rsidP="004961AD">
      <w:pPr>
        <w:spacing w:line="264" w:lineRule="exact"/>
        <w:ind w:left="2000"/>
        <w:rPr>
          <w:sz w:val="24"/>
        </w:rPr>
      </w:pPr>
      <w:r>
        <w:rPr>
          <w:b/>
          <w:color w:val="5987B1"/>
          <w:sz w:val="26"/>
        </w:rPr>
        <w:t xml:space="preserve">                    P.O.</w:t>
      </w:r>
      <w:r>
        <w:rPr>
          <w:b/>
          <w:color w:val="5987B1"/>
          <w:spacing w:val="-10"/>
          <w:sz w:val="26"/>
        </w:rPr>
        <w:t xml:space="preserve"> </w:t>
      </w:r>
      <w:r>
        <w:rPr>
          <w:b/>
          <w:color w:val="5987B1"/>
          <w:sz w:val="26"/>
        </w:rPr>
        <w:t>BOX</w:t>
      </w:r>
      <w:r>
        <w:rPr>
          <w:b/>
          <w:color w:val="5987B1"/>
          <w:spacing w:val="-5"/>
          <w:sz w:val="26"/>
        </w:rPr>
        <w:t xml:space="preserve"> </w:t>
      </w:r>
      <w:r>
        <w:rPr>
          <w:color w:val="6B809A"/>
          <w:sz w:val="24"/>
        </w:rPr>
        <w:t>10-</w:t>
      </w:r>
      <w:r>
        <w:rPr>
          <w:color w:val="6B809A"/>
          <w:spacing w:val="-4"/>
          <w:sz w:val="24"/>
        </w:rPr>
        <w:t>9009</w:t>
      </w:r>
    </w:p>
    <w:p w:rsidR="004961AD" w:rsidRDefault="004961AD" w:rsidP="004961AD">
      <w:pPr>
        <w:spacing w:line="279" w:lineRule="exact"/>
        <w:ind w:left="26" w:right="1619"/>
        <w:jc w:val="center"/>
        <w:rPr>
          <w:b/>
          <w:sz w:val="26"/>
        </w:rPr>
      </w:pPr>
      <w:r>
        <w:rPr>
          <w:color w:val="2679B3"/>
          <w:spacing w:val="-4"/>
          <w:sz w:val="24"/>
        </w:rPr>
        <w:t xml:space="preserve">              1</w:t>
      </w:r>
      <w:r>
        <w:rPr>
          <w:color w:val="5987B1"/>
          <w:spacing w:val="-4"/>
          <w:sz w:val="24"/>
        </w:rPr>
        <w:t>000</w:t>
      </w:r>
      <w:r>
        <w:rPr>
          <w:color w:val="5987B1"/>
          <w:spacing w:val="-11"/>
          <w:sz w:val="24"/>
        </w:rPr>
        <w:t xml:space="preserve"> </w:t>
      </w:r>
      <w:r>
        <w:rPr>
          <w:b/>
          <w:color w:val="5987B1"/>
          <w:spacing w:val="-4"/>
          <w:sz w:val="26"/>
        </w:rPr>
        <w:t>MONROVIA</w:t>
      </w:r>
      <w:r>
        <w:rPr>
          <w:b/>
          <w:color w:val="5987B1"/>
          <w:spacing w:val="-13"/>
          <w:sz w:val="26"/>
        </w:rPr>
        <w:t xml:space="preserve"> </w:t>
      </w:r>
      <w:r>
        <w:rPr>
          <w:color w:val="5987B1"/>
          <w:spacing w:val="-4"/>
          <w:sz w:val="24"/>
        </w:rPr>
        <w:t>10,</w:t>
      </w:r>
      <w:r>
        <w:rPr>
          <w:color w:val="5987B1"/>
          <w:spacing w:val="21"/>
          <w:sz w:val="24"/>
        </w:rPr>
        <w:t xml:space="preserve"> </w:t>
      </w:r>
      <w:r>
        <w:rPr>
          <w:b/>
          <w:color w:val="5987B1"/>
          <w:spacing w:val="-4"/>
          <w:sz w:val="26"/>
        </w:rPr>
        <w:t>LIBERIA</w:t>
      </w:r>
    </w:p>
    <w:p w:rsidR="004961AD" w:rsidRDefault="004961AD" w:rsidP="004961AD">
      <w:pPr>
        <w:pStyle w:val="Heading2"/>
        <w:jc w:val="center"/>
        <w:rPr>
          <w:rStyle w:val="Strong"/>
          <w:rFonts w:ascii="Times New Roman" w:hAnsi="Times New Roman" w:cs="Times New Roman"/>
          <w:bCs w:val="0"/>
          <w:sz w:val="24"/>
          <w:szCs w:val="24"/>
        </w:rPr>
      </w:pPr>
    </w:p>
    <w:p w:rsidR="004961AD" w:rsidRPr="004961AD" w:rsidRDefault="004961AD" w:rsidP="004961AD">
      <w:pPr>
        <w:pStyle w:val="Heading2"/>
        <w:jc w:val="center"/>
        <w:rPr>
          <w:rStyle w:val="Strong"/>
          <w:rFonts w:ascii="Times New Roman" w:hAnsi="Times New Roman" w:cs="Times New Roman"/>
          <w:bCs w:val="0"/>
          <w:sz w:val="40"/>
          <w:szCs w:val="24"/>
        </w:rPr>
      </w:pPr>
      <w:r w:rsidRPr="004961AD">
        <w:rPr>
          <w:rStyle w:val="Strong"/>
          <w:rFonts w:ascii="Times New Roman" w:hAnsi="Times New Roman" w:cs="Times New Roman"/>
          <w:bCs w:val="0"/>
          <w:sz w:val="40"/>
          <w:szCs w:val="24"/>
        </w:rPr>
        <w:t>JOB VACANCY ANNOUNCEMENT</w:t>
      </w:r>
    </w:p>
    <w:p w:rsidR="004961AD" w:rsidRPr="004961AD" w:rsidRDefault="004961AD" w:rsidP="004961AD"/>
    <w:p w:rsidR="004961AD" w:rsidRPr="004961AD" w:rsidRDefault="004961AD" w:rsidP="004961AD">
      <w:pPr>
        <w:pStyle w:val="Heading3"/>
        <w:spacing w:before="0" w:beforeAutospacing="0" w:after="0" w:afterAutospacing="0"/>
        <w:rPr>
          <w:sz w:val="24"/>
          <w:szCs w:val="24"/>
        </w:rPr>
      </w:pPr>
      <w:r w:rsidRPr="004961AD">
        <w:rPr>
          <w:rStyle w:val="Strong"/>
          <w:b/>
          <w:bCs/>
          <w:sz w:val="24"/>
          <w:szCs w:val="24"/>
        </w:rPr>
        <w:t>Position:</w:t>
      </w:r>
      <w:r w:rsidRPr="004961AD"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AB5BA9">
        <w:rPr>
          <w:sz w:val="24"/>
          <w:szCs w:val="24"/>
        </w:rPr>
        <w:t xml:space="preserve">National Technical Assistant </w:t>
      </w:r>
    </w:p>
    <w:p w:rsidR="004961AD" w:rsidRPr="004961AD" w:rsidRDefault="004961AD" w:rsidP="004961AD">
      <w:pPr>
        <w:pStyle w:val="Heading3"/>
        <w:spacing w:before="0" w:beforeAutospacing="0" w:after="0" w:afterAutospacing="0"/>
        <w:rPr>
          <w:sz w:val="24"/>
          <w:szCs w:val="24"/>
        </w:rPr>
      </w:pPr>
      <w:r w:rsidRPr="004961AD">
        <w:rPr>
          <w:rStyle w:val="Strong"/>
          <w:b/>
          <w:bCs/>
          <w:sz w:val="24"/>
          <w:szCs w:val="24"/>
        </w:rPr>
        <w:t>Institution:</w:t>
      </w:r>
      <w:r w:rsidRPr="004961AD"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4961AD">
        <w:rPr>
          <w:sz w:val="24"/>
          <w:szCs w:val="24"/>
        </w:rPr>
        <w:t>Ministry of Health, Republic of Liberia</w:t>
      </w:r>
    </w:p>
    <w:p w:rsidR="004961AD" w:rsidRPr="004961AD" w:rsidRDefault="004961AD" w:rsidP="004961AD">
      <w:pPr>
        <w:pStyle w:val="Heading3"/>
        <w:spacing w:before="0" w:beforeAutospacing="0" w:after="0" w:afterAutospacing="0"/>
        <w:rPr>
          <w:sz w:val="24"/>
          <w:szCs w:val="24"/>
        </w:rPr>
      </w:pPr>
      <w:r w:rsidRPr="004961AD">
        <w:rPr>
          <w:rStyle w:val="Strong"/>
          <w:b/>
          <w:bCs/>
          <w:sz w:val="24"/>
          <w:szCs w:val="24"/>
        </w:rPr>
        <w:t>Duty Station:</w:t>
      </w:r>
      <w:r w:rsidRPr="004961AD"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 w:rsidRPr="004961AD">
        <w:rPr>
          <w:sz w:val="24"/>
          <w:szCs w:val="24"/>
        </w:rPr>
        <w:t>Monrovia, with field travel</w:t>
      </w:r>
    </w:p>
    <w:p w:rsidR="004961AD" w:rsidRPr="004961AD" w:rsidRDefault="004961AD" w:rsidP="004961AD">
      <w:pPr>
        <w:pStyle w:val="Heading3"/>
        <w:spacing w:before="0" w:beforeAutospacing="0" w:after="0" w:afterAutospacing="0"/>
        <w:rPr>
          <w:sz w:val="24"/>
          <w:szCs w:val="24"/>
        </w:rPr>
      </w:pPr>
      <w:r w:rsidRPr="004961AD">
        <w:rPr>
          <w:rStyle w:val="Strong"/>
          <w:b/>
          <w:bCs/>
          <w:sz w:val="24"/>
          <w:szCs w:val="24"/>
        </w:rPr>
        <w:t>Contract Type:</w:t>
      </w:r>
      <w:r w:rsidRPr="004961AD"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 w:rsidRPr="004961AD">
        <w:rPr>
          <w:sz w:val="24"/>
          <w:szCs w:val="24"/>
        </w:rPr>
        <w:t>Short-term consultancy</w:t>
      </w:r>
    </w:p>
    <w:p w:rsidR="004961AD" w:rsidRPr="004961AD" w:rsidRDefault="0005187F" w:rsidP="004961AD">
      <w:pPr>
        <w:pStyle w:val="Heading3"/>
        <w:spacing w:before="0" w:beforeAutospacing="0" w:after="0" w:afterAutospacing="0"/>
        <w:rPr>
          <w:sz w:val="24"/>
          <w:szCs w:val="24"/>
        </w:rPr>
      </w:pPr>
      <w:r>
        <w:rPr>
          <w:rStyle w:val="Strong"/>
          <w:b/>
          <w:bCs/>
          <w:sz w:val="24"/>
          <w:szCs w:val="24"/>
        </w:rPr>
        <w:t>Grant Period</w:t>
      </w:r>
      <w:r w:rsidR="004961AD" w:rsidRPr="004961AD">
        <w:rPr>
          <w:rStyle w:val="Strong"/>
          <w:b/>
          <w:bCs/>
          <w:sz w:val="24"/>
          <w:szCs w:val="24"/>
        </w:rPr>
        <w:t>:</w:t>
      </w:r>
      <w:r w:rsidR="004961AD" w:rsidRPr="004961AD"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bookmarkStart w:id="0" w:name="_GoBack"/>
      <w:bookmarkEnd w:id="0"/>
      <w:r w:rsidR="004961AD" w:rsidRPr="004961AD">
        <w:rPr>
          <w:sz w:val="24"/>
          <w:szCs w:val="24"/>
        </w:rPr>
        <w:t>December 2025 – March 2026</w:t>
      </w:r>
    </w:p>
    <w:p w:rsidR="004961AD" w:rsidRPr="004961AD" w:rsidRDefault="0005187F" w:rsidP="004961A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>
          <v:rect id="_x0000_i1025" style="width:0;height:1.5pt" o:hralign="center" o:hrstd="t" o:hr="t" fillcolor="#a0a0a0" stroked="f"/>
        </w:pict>
      </w:r>
    </w:p>
    <w:p w:rsidR="004961AD" w:rsidRPr="004961AD" w:rsidRDefault="004961AD" w:rsidP="004961AD">
      <w:pPr>
        <w:pStyle w:val="Heading3"/>
        <w:rPr>
          <w:sz w:val="24"/>
          <w:szCs w:val="24"/>
        </w:rPr>
      </w:pPr>
      <w:r w:rsidRPr="004961AD">
        <w:rPr>
          <w:rStyle w:val="Strong"/>
          <w:b/>
          <w:bCs/>
          <w:sz w:val="24"/>
          <w:szCs w:val="24"/>
        </w:rPr>
        <w:t>Background</w:t>
      </w:r>
    </w:p>
    <w:p w:rsidR="004961AD" w:rsidRPr="004961AD" w:rsidRDefault="004961AD" w:rsidP="004961AD">
      <w:pPr>
        <w:pStyle w:val="NormalWeb"/>
      </w:pPr>
      <w:r w:rsidRPr="004961AD">
        <w:t>The Ministry of Health (</w:t>
      </w:r>
      <w:proofErr w:type="spellStart"/>
      <w:r w:rsidRPr="004961AD">
        <w:t>MoH</w:t>
      </w:r>
      <w:proofErr w:type="spellEnd"/>
      <w:r w:rsidRPr="004961AD">
        <w:t>), through the National Malaria Control Program (NMCP), is implementing an extension of the Fourth National Malaria Str</w:t>
      </w:r>
      <w:r w:rsidR="00AB5BA9">
        <w:t>ategic Plan (NMSP) for 2021–2025</w:t>
      </w:r>
      <w:r w:rsidRPr="004961AD">
        <w:t>. This plan focuses on scaling up essential malaria prevention and control interventions, including:</w:t>
      </w:r>
    </w:p>
    <w:p w:rsidR="004961AD" w:rsidRPr="004961AD" w:rsidRDefault="004961AD" w:rsidP="004961AD">
      <w:pPr>
        <w:pStyle w:val="NormalWeb"/>
        <w:numPr>
          <w:ilvl w:val="0"/>
          <w:numId w:val="1"/>
        </w:numPr>
      </w:pPr>
      <w:r w:rsidRPr="004961AD">
        <w:t>Long-Lasting Insecticidal Nets (LLINs)</w:t>
      </w:r>
    </w:p>
    <w:p w:rsidR="004961AD" w:rsidRPr="004961AD" w:rsidRDefault="0005187F" w:rsidP="004961AD">
      <w:pPr>
        <w:pStyle w:val="NormalWeb"/>
        <w:numPr>
          <w:ilvl w:val="0"/>
          <w:numId w:val="1"/>
        </w:numPr>
      </w:pPr>
      <w:r>
        <w:t>Prompt diagnosis and effective malaria case management</w:t>
      </w:r>
    </w:p>
    <w:p w:rsidR="004961AD" w:rsidRPr="004961AD" w:rsidRDefault="004961AD" w:rsidP="004961AD">
      <w:pPr>
        <w:pStyle w:val="NormalWeb"/>
        <w:numPr>
          <w:ilvl w:val="0"/>
          <w:numId w:val="1"/>
        </w:numPr>
      </w:pPr>
      <w:r w:rsidRPr="004961AD">
        <w:t>Intermittent Preventive Treatment in Pregnancy (</w:t>
      </w:r>
      <w:proofErr w:type="spellStart"/>
      <w:r w:rsidRPr="004961AD">
        <w:t>IPTp</w:t>
      </w:r>
      <w:proofErr w:type="spellEnd"/>
      <w:r w:rsidRPr="004961AD">
        <w:t>)</w:t>
      </w:r>
    </w:p>
    <w:p w:rsidR="004961AD" w:rsidRPr="004961AD" w:rsidRDefault="004961AD" w:rsidP="004961AD">
      <w:pPr>
        <w:pStyle w:val="NormalWeb"/>
      </w:pPr>
      <w:r w:rsidRPr="004961AD">
        <w:t xml:space="preserve">As the current strategic period draws to a close, the Ministry of Health intends to conduct a </w:t>
      </w:r>
      <w:r w:rsidRPr="004961AD">
        <w:rPr>
          <w:rStyle w:val="Strong"/>
        </w:rPr>
        <w:t>Comprehensive End-Term Malaria Program Review (MPR)</w:t>
      </w:r>
      <w:r w:rsidRPr="004961AD">
        <w:t xml:space="preserve"> to assess progress, document lessons learned, and generate evidence to inform the next strategic cycle (2026–2030), in alignment with the WHO Global Technical Strategy for Malaria (2016–2030).</w:t>
      </w:r>
    </w:p>
    <w:p w:rsidR="004961AD" w:rsidRPr="004961AD" w:rsidRDefault="004961AD" w:rsidP="004961AD">
      <w:pPr>
        <w:pStyle w:val="NormalWeb"/>
      </w:pPr>
      <w:r w:rsidRPr="004961AD">
        <w:t xml:space="preserve">To support this process, the Ministry of Health is seeking a </w:t>
      </w:r>
      <w:r w:rsidRPr="004961AD">
        <w:rPr>
          <w:rStyle w:val="Strong"/>
        </w:rPr>
        <w:t>qual</w:t>
      </w:r>
      <w:r w:rsidR="00AB5BA9">
        <w:rPr>
          <w:rStyle w:val="Strong"/>
        </w:rPr>
        <w:t>ified National Technical Assistant</w:t>
      </w:r>
      <w:r w:rsidRPr="004961AD">
        <w:t xml:space="preserve"> to lead and coordinate the End-Term Malaria Program Review.</w:t>
      </w:r>
    </w:p>
    <w:p w:rsidR="004961AD" w:rsidRPr="004961AD" w:rsidRDefault="0005187F" w:rsidP="004961A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>
          <v:rect id="_x0000_i1026" style="width:0;height:1.5pt" o:hralign="center" o:hrstd="t" o:hr="t" fillcolor="#a0a0a0" stroked="f"/>
        </w:pict>
      </w:r>
    </w:p>
    <w:p w:rsidR="004961AD" w:rsidRPr="004961AD" w:rsidRDefault="004961AD" w:rsidP="004961AD">
      <w:pPr>
        <w:pStyle w:val="Heading3"/>
        <w:rPr>
          <w:sz w:val="24"/>
          <w:szCs w:val="24"/>
        </w:rPr>
      </w:pPr>
      <w:r w:rsidRPr="004961AD">
        <w:rPr>
          <w:rStyle w:val="Strong"/>
          <w:b/>
          <w:bCs/>
          <w:sz w:val="24"/>
          <w:szCs w:val="24"/>
        </w:rPr>
        <w:t>Purpose of the Assignment</w:t>
      </w:r>
    </w:p>
    <w:p w:rsidR="004961AD" w:rsidRPr="004961AD" w:rsidRDefault="00A7150A" w:rsidP="004961AD">
      <w:pPr>
        <w:pStyle w:val="NormalWeb"/>
      </w:pPr>
      <w:r>
        <w:t>The National Technical Assistant</w:t>
      </w:r>
      <w:r w:rsidR="004961AD" w:rsidRPr="004961AD">
        <w:t xml:space="preserve"> will lead a comprehensive performance assessment of Liberia’s malaria program during the NMSP 2021–20</w:t>
      </w:r>
      <w:r>
        <w:t>25</w:t>
      </w:r>
      <w:r w:rsidR="004961AD" w:rsidRPr="004961AD">
        <w:t xml:space="preserve"> implementation period and provide strategic recommendations to strengthen malaria interventions and inform future planning.</w:t>
      </w:r>
    </w:p>
    <w:p w:rsidR="004961AD" w:rsidRPr="004961AD" w:rsidRDefault="004961AD" w:rsidP="004961AD">
      <w:pPr>
        <w:pStyle w:val="Heading3"/>
        <w:rPr>
          <w:sz w:val="24"/>
          <w:szCs w:val="24"/>
        </w:rPr>
      </w:pPr>
      <w:r w:rsidRPr="004961AD">
        <w:rPr>
          <w:rStyle w:val="Strong"/>
          <w:b/>
          <w:bCs/>
          <w:sz w:val="24"/>
          <w:szCs w:val="24"/>
        </w:rPr>
        <w:lastRenderedPageBreak/>
        <w:t>Key Objectives</w:t>
      </w:r>
    </w:p>
    <w:p w:rsidR="004961AD" w:rsidRPr="004961AD" w:rsidRDefault="00A7150A" w:rsidP="004961AD">
      <w:pPr>
        <w:pStyle w:val="NormalWeb"/>
      </w:pPr>
      <w:r>
        <w:t>The National Technical Assistant</w:t>
      </w:r>
      <w:r w:rsidR="004961AD" w:rsidRPr="004961AD">
        <w:t xml:space="preserve"> will:</w:t>
      </w:r>
    </w:p>
    <w:p w:rsidR="004961AD" w:rsidRPr="004961AD" w:rsidRDefault="004961AD" w:rsidP="004961AD">
      <w:pPr>
        <w:pStyle w:val="NormalWeb"/>
        <w:numPr>
          <w:ilvl w:val="0"/>
          <w:numId w:val="2"/>
        </w:numPr>
      </w:pPr>
      <w:r w:rsidRPr="004961AD">
        <w:t>Assess</w:t>
      </w:r>
      <w:r w:rsidR="00A7150A">
        <w:t xml:space="preserve"> progress against NMSP 2021–2025</w:t>
      </w:r>
      <w:r w:rsidRPr="004961AD">
        <w:t xml:space="preserve"> targets and objectives</w:t>
      </w:r>
    </w:p>
    <w:p w:rsidR="004961AD" w:rsidRPr="004961AD" w:rsidRDefault="004961AD" w:rsidP="004961AD">
      <w:pPr>
        <w:pStyle w:val="NormalWeb"/>
        <w:numPr>
          <w:ilvl w:val="0"/>
          <w:numId w:val="2"/>
        </w:numPr>
      </w:pPr>
      <w:r w:rsidRPr="004961AD">
        <w:t>Evaluate the coverage, quality, and effectiveness of malaria interventions</w:t>
      </w:r>
    </w:p>
    <w:p w:rsidR="004961AD" w:rsidRPr="004961AD" w:rsidRDefault="004961AD" w:rsidP="004961AD">
      <w:pPr>
        <w:pStyle w:val="NormalWeb"/>
        <w:numPr>
          <w:ilvl w:val="0"/>
          <w:numId w:val="2"/>
        </w:numPr>
      </w:pPr>
      <w:r w:rsidRPr="004961AD">
        <w:t>Review program governance, coordination, financing, and accountability mechanisms</w:t>
      </w:r>
    </w:p>
    <w:p w:rsidR="004961AD" w:rsidRPr="004961AD" w:rsidRDefault="004961AD" w:rsidP="004961AD">
      <w:pPr>
        <w:pStyle w:val="NormalWeb"/>
        <w:numPr>
          <w:ilvl w:val="0"/>
          <w:numId w:val="2"/>
        </w:numPr>
      </w:pPr>
      <w:r w:rsidRPr="004961AD">
        <w:t>Identify implementation gaps and best practices to inform the next NMSP</w:t>
      </w:r>
    </w:p>
    <w:p w:rsidR="004961AD" w:rsidRPr="004961AD" w:rsidRDefault="004961AD" w:rsidP="004961AD">
      <w:pPr>
        <w:pStyle w:val="NormalWeb"/>
        <w:numPr>
          <w:ilvl w:val="0"/>
          <w:numId w:val="2"/>
        </w:numPr>
      </w:pPr>
      <w:r w:rsidRPr="004961AD">
        <w:t>Align national malaria priorities with the WHO Global Technical Strategy and upcoming Global Fund grant cycles</w:t>
      </w:r>
    </w:p>
    <w:p w:rsidR="004961AD" w:rsidRPr="004961AD" w:rsidRDefault="004961AD" w:rsidP="004961AD">
      <w:pPr>
        <w:pStyle w:val="NormalWeb"/>
        <w:numPr>
          <w:ilvl w:val="0"/>
          <w:numId w:val="2"/>
        </w:numPr>
      </w:pPr>
      <w:r w:rsidRPr="004961AD">
        <w:t>Compile and analyze relevant literature and evidence to support the development of the new NMSP</w:t>
      </w:r>
    </w:p>
    <w:p w:rsidR="004961AD" w:rsidRPr="004961AD" w:rsidRDefault="004961AD" w:rsidP="004961AD">
      <w:pPr>
        <w:pStyle w:val="Heading3"/>
        <w:rPr>
          <w:sz w:val="24"/>
          <w:szCs w:val="24"/>
        </w:rPr>
      </w:pPr>
      <w:r w:rsidRPr="004961AD">
        <w:rPr>
          <w:rStyle w:val="Strong"/>
          <w:b/>
          <w:bCs/>
          <w:sz w:val="24"/>
          <w:szCs w:val="24"/>
        </w:rPr>
        <w:t>Scope of Work</w:t>
      </w:r>
    </w:p>
    <w:p w:rsidR="004961AD" w:rsidRPr="004961AD" w:rsidRDefault="004961AD" w:rsidP="004961AD">
      <w:pPr>
        <w:pStyle w:val="NormalWeb"/>
      </w:pPr>
      <w:r w:rsidRPr="004961AD">
        <w:t>The End-Term Malaria Program Review will cover the following thematic areas:</w:t>
      </w:r>
    </w:p>
    <w:p w:rsidR="004961AD" w:rsidRPr="004961AD" w:rsidRDefault="004961AD" w:rsidP="004961AD">
      <w:pPr>
        <w:pStyle w:val="NormalWeb"/>
      </w:pPr>
      <w:r w:rsidRPr="004961AD">
        <w:rPr>
          <w:rStyle w:val="Strong"/>
        </w:rPr>
        <w:t>Governance &amp; Strategy</w:t>
      </w:r>
    </w:p>
    <w:p w:rsidR="004961AD" w:rsidRPr="004961AD" w:rsidRDefault="0034779F" w:rsidP="004961AD">
      <w:pPr>
        <w:pStyle w:val="NormalWeb"/>
        <w:numPr>
          <w:ilvl w:val="0"/>
          <w:numId w:val="3"/>
        </w:numPr>
      </w:pPr>
      <w:r>
        <w:t>Program</w:t>
      </w:r>
      <w:r w:rsidR="004961AD" w:rsidRPr="004961AD">
        <w:t xml:space="preserve"> governance, coordination, and strategic planning</w:t>
      </w:r>
    </w:p>
    <w:p w:rsidR="004961AD" w:rsidRPr="004961AD" w:rsidRDefault="004961AD" w:rsidP="004961AD">
      <w:pPr>
        <w:pStyle w:val="NormalWeb"/>
      </w:pPr>
      <w:r w:rsidRPr="004961AD">
        <w:rPr>
          <w:rStyle w:val="Strong"/>
        </w:rPr>
        <w:t>Interventions</w:t>
      </w:r>
    </w:p>
    <w:p w:rsidR="004961AD" w:rsidRPr="004961AD" w:rsidRDefault="004961AD" w:rsidP="004961AD">
      <w:pPr>
        <w:pStyle w:val="NormalWeb"/>
        <w:numPr>
          <w:ilvl w:val="0"/>
          <w:numId w:val="4"/>
        </w:numPr>
      </w:pPr>
      <w:r w:rsidRPr="004961AD">
        <w:t>Vector control (LLINs, IRS)</w:t>
      </w:r>
    </w:p>
    <w:p w:rsidR="004961AD" w:rsidRPr="004961AD" w:rsidRDefault="004961AD" w:rsidP="004961AD">
      <w:pPr>
        <w:pStyle w:val="NormalWeb"/>
        <w:numPr>
          <w:ilvl w:val="0"/>
          <w:numId w:val="4"/>
        </w:numPr>
      </w:pPr>
      <w:r w:rsidRPr="004961AD">
        <w:t>Case management</w:t>
      </w:r>
    </w:p>
    <w:p w:rsidR="004961AD" w:rsidRPr="004961AD" w:rsidRDefault="004961AD" w:rsidP="004961AD">
      <w:pPr>
        <w:pStyle w:val="NormalWeb"/>
        <w:numPr>
          <w:ilvl w:val="0"/>
          <w:numId w:val="4"/>
        </w:numPr>
      </w:pPr>
      <w:r w:rsidRPr="004961AD">
        <w:t>Malaria prevention in pregnancy (MIP)</w:t>
      </w:r>
    </w:p>
    <w:p w:rsidR="004961AD" w:rsidRPr="004961AD" w:rsidRDefault="004961AD" w:rsidP="004961AD">
      <w:pPr>
        <w:pStyle w:val="NormalWeb"/>
      </w:pPr>
      <w:r w:rsidRPr="004961AD">
        <w:rPr>
          <w:rStyle w:val="Strong"/>
        </w:rPr>
        <w:t>Data, Surveillance &amp; Logistics</w:t>
      </w:r>
    </w:p>
    <w:p w:rsidR="004961AD" w:rsidRPr="004961AD" w:rsidRDefault="004961AD" w:rsidP="004961AD">
      <w:pPr>
        <w:pStyle w:val="NormalWeb"/>
        <w:numPr>
          <w:ilvl w:val="0"/>
          <w:numId w:val="5"/>
        </w:numPr>
      </w:pPr>
      <w:r w:rsidRPr="004961AD">
        <w:t>Surveillance, monitoring</w:t>
      </w:r>
      <w:r w:rsidR="0034779F">
        <w:t>,</w:t>
      </w:r>
      <w:r w:rsidRPr="004961AD">
        <w:t xml:space="preserve"> and evaluation</w:t>
      </w:r>
    </w:p>
    <w:p w:rsidR="004961AD" w:rsidRPr="004961AD" w:rsidRDefault="004961AD" w:rsidP="004961AD">
      <w:pPr>
        <w:pStyle w:val="NormalWeb"/>
        <w:numPr>
          <w:ilvl w:val="0"/>
          <w:numId w:val="5"/>
        </w:numPr>
      </w:pPr>
      <w:r w:rsidRPr="004961AD">
        <w:t>Data use for decision-making</w:t>
      </w:r>
    </w:p>
    <w:p w:rsidR="004961AD" w:rsidRPr="004961AD" w:rsidRDefault="004961AD" w:rsidP="004961AD">
      <w:pPr>
        <w:pStyle w:val="NormalWeb"/>
        <w:numPr>
          <w:ilvl w:val="0"/>
          <w:numId w:val="5"/>
        </w:numPr>
      </w:pPr>
      <w:r w:rsidRPr="004961AD">
        <w:t>Procurement and supply chain management</w:t>
      </w:r>
    </w:p>
    <w:p w:rsidR="004961AD" w:rsidRPr="004961AD" w:rsidRDefault="004961AD" w:rsidP="004961AD">
      <w:pPr>
        <w:pStyle w:val="NormalWeb"/>
      </w:pPr>
      <w:r w:rsidRPr="004961AD">
        <w:rPr>
          <w:rStyle w:val="Strong"/>
        </w:rPr>
        <w:t>Cross-Cutting Areas</w:t>
      </w:r>
    </w:p>
    <w:p w:rsidR="004961AD" w:rsidRPr="004961AD" w:rsidRDefault="004961AD" w:rsidP="004961AD">
      <w:pPr>
        <w:pStyle w:val="NormalWeb"/>
        <w:numPr>
          <w:ilvl w:val="0"/>
          <w:numId w:val="6"/>
        </w:numPr>
      </w:pPr>
      <w:r w:rsidRPr="004961AD">
        <w:t>Social and Behavior Change Communication (SBCC)</w:t>
      </w:r>
    </w:p>
    <w:p w:rsidR="004961AD" w:rsidRPr="004961AD" w:rsidRDefault="004961AD" w:rsidP="004961AD">
      <w:pPr>
        <w:pStyle w:val="NormalWeb"/>
        <w:numPr>
          <w:ilvl w:val="0"/>
          <w:numId w:val="6"/>
        </w:numPr>
      </w:pPr>
      <w:r w:rsidRPr="004961AD">
        <w:t>Gender equity</w:t>
      </w:r>
    </w:p>
    <w:p w:rsidR="004961AD" w:rsidRPr="004961AD" w:rsidRDefault="004961AD" w:rsidP="004961AD">
      <w:pPr>
        <w:pStyle w:val="NormalWeb"/>
        <w:numPr>
          <w:ilvl w:val="0"/>
          <w:numId w:val="6"/>
        </w:numPr>
      </w:pPr>
      <w:r w:rsidRPr="004961AD">
        <w:t>Health systems strengthening</w:t>
      </w:r>
    </w:p>
    <w:p w:rsidR="004961AD" w:rsidRPr="004961AD" w:rsidRDefault="004961AD" w:rsidP="004961AD">
      <w:pPr>
        <w:pStyle w:val="NormalWeb"/>
      </w:pPr>
      <w:r w:rsidRPr="004961AD">
        <w:rPr>
          <w:rStyle w:val="Strong"/>
        </w:rPr>
        <w:t>Finance, Partnerships &amp; Research</w:t>
      </w:r>
    </w:p>
    <w:p w:rsidR="004961AD" w:rsidRPr="004961AD" w:rsidRDefault="004961AD" w:rsidP="004961AD">
      <w:pPr>
        <w:pStyle w:val="NormalWeb"/>
        <w:numPr>
          <w:ilvl w:val="0"/>
          <w:numId w:val="7"/>
        </w:numPr>
      </w:pPr>
      <w:r w:rsidRPr="004961AD">
        <w:t>Resource mobilization and partnerships</w:t>
      </w:r>
    </w:p>
    <w:p w:rsidR="004961AD" w:rsidRPr="004961AD" w:rsidRDefault="004961AD" w:rsidP="004961AD">
      <w:pPr>
        <w:pStyle w:val="NormalWeb"/>
        <w:numPr>
          <w:ilvl w:val="0"/>
          <w:numId w:val="7"/>
        </w:numPr>
      </w:pPr>
      <w:r w:rsidRPr="004961AD">
        <w:t>Innovation and operational research</w:t>
      </w:r>
    </w:p>
    <w:p w:rsidR="004961AD" w:rsidRDefault="004961AD" w:rsidP="004961AD">
      <w:pPr>
        <w:pStyle w:val="NormalWeb"/>
        <w:rPr>
          <w:rStyle w:val="Strong"/>
        </w:rPr>
      </w:pPr>
    </w:p>
    <w:p w:rsidR="004961AD" w:rsidRPr="004961AD" w:rsidRDefault="004961AD" w:rsidP="004961AD">
      <w:pPr>
        <w:pStyle w:val="NormalWeb"/>
      </w:pPr>
      <w:r w:rsidRPr="004961AD">
        <w:rPr>
          <w:rStyle w:val="Strong"/>
        </w:rPr>
        <w:lastRenderedPageBreak/>
        <w:t>S</w:t>
      </w:r>
      <w:r w:rsidR="0034779F">
        <w:rPr>
          <w:rStyle w:val="Strong"/>
        </w:rPr>
        <w:t>trategic</w:t>
      </w:r>
      <w:r w:rsidRPr="004961AD">
        <w:rPr>
          <w:rStyle w:val="Strong"/>
        </w:rPr>
        <w:t xml:space="preserve"> Planning</w:t>
      </w:r>
    </w:p>
    <w:p w:rsidR="004961AD" w:rsidRPr="004961AD" w:rsidRDefault="004961AD" w:rsidP="004961AD">
      <w:pPr>
        <w:pStyle w:val="NormalWeb"/>
        <w:numPr>
          <w:ilvl w:val="0"/>
          <w:numId w:val="8"/>
        </w:numPr>
      </w:pPr>
      <w:r w:rsidRPr="004961AD">
        <w:t xml:space="preserve">Drafting the </w:t>
      </w:r>
      <w:r w:rsidR="0034779F">
        <w:t xml:space="preserve">new </w:t>
      </w:r>
      <w:r w:rsidR="0005187F">
        <w:t xml:space="preserve">national </w:t>
      </w:r>
      <w:r w:rsidR="0034779F">
        <w:t>malaria strategic plan (2026–2030</w:t>
      </w:r>
      <w:r w:rsidRPr="004961AD">
        <w:t>)</w:t>
      </w:r>
    </w:p>
    <w:p w:rsidR="004961AD" w:rsidRPr="004961AD" w:rsidRDefault="004961AD" w:rsidP="004961AD">
      <w:pPr>
        <w:pStyle w:val="NormalWeb"/>
        <w:numPr>
          <w:ilvl w:val="0"/>
          <w:numId w:val="8"/>
        </w:numPr>
      </w:pPr>
      <w:r w:rsidRPr="004961AD">
        <w:t>Presenting the draft to stakeholders and facilitating validation</w:t>
      </w:r>
    </w:p>
    <w:p w:rsidR="004961AD" w:rsidRPr="004961AD" w:rsidRDefault="004961AD" w:rsidP="004961AD">
      <w:pPr>
        <w:pStyle w:val="Heading3"/>
        <w:rPr>
          <w:sz w:val="24"/>
          <w:szCs w:val="24"/>
        </w:rPr>
      </w:pPr>
      <w:r w:rsidRPr="004961AD">
        <w:rPr>
          <w:rStyle w:val="Strong"/>
          <w:b/>
          <w:bCs/>
          <w:sz w:val="24"/>
          <w:szCs w:val="24"/>
        </w:rPr>
        <w:t>Methodology</w:t>
      </w:r>
    </w:p>
    <w:p w:rsidR="004961AD" w:rsidRPr="004961AD" w:rsidRDefault="004961AD" w:rsidP="004961AD">
      <w:pPr>
        <w:pStyle w:val="NormalWeb"/>
      </w:pPr>
      <w:r w:rsidRPr="004961AD">
        <w:t xml:space="preserve">The assignment will be guided by the </w:t>
      </w:r>
      <w:r w:rsidRPr="004961AD">
        <w:rPr>
          <w:rStyle w:val="Strong"/>
        </w:rPr>
        <w:t>WHO Malaria Program Review (MPR) Toolkit</w:t>
      </w:r>
      <w:r w:rsidRPr="004961AD">
        <w:t xml:space="preserve"> and will include:</w:t>
      </w:r>
    </w:p>
    <w:p w:rsidR="004961AD" w:rsidRPr="004961AD" w:rsidRDefault="004961AD" w:rsidP="004961AD">
      <w:pPr>
        <w:pStyle w:val="NormalWeb"/>
        <w:numPr>
          <w:ilvl w:val="0"/>
          <w:numId w:val="9"/>
        </w:numPr>
      </w:pPr>
      <w:r w:rsidRPr="004961AD">
        <w:t>Desk review of policies, reports, and health data</w:t>
      </w:r>
    </w:p>
    <w:p w:rsidR="004961AD" w:rsidRPr="004961AD" w:rsidRDefault="004961AD" w:rsidP="004961AD">
      <w:pPr>
        <w:pStyle w:val="NormalWeb"/>
        <w:numPr>
          <w:ilvl w:val="0"/>
          <w:numId w:val="9"/>
        </w:numPr>
      </w:pPr>
      <w:r w:rsidRPr="004961AD">
        <w:t>Engagement with thematic working groups (NMCP, WHO, partners)</w:t>
      </w:r>
    </w:p>
    <w:p w:rsidR="004961AD" w:rsidRPr="004961AD" w:rsidRDefault="004961AD" w:rsidP="004961AD">
      <w:pPr>
        <w:pStyle w:val="NormalWeb"/>
        <w:numPr>
          <w:ilvl w:val="0"/>
          <w:numId w:val="9"/>
        </w:numPr>
      </w:pPr>
      <w:r w:rsidRPr="004961AD">
        <w:t>Field visits to selected counties and districts</w:t>
      </w:r>
    </w:p>
    <w:p w:rsidR="004961AD" w:rsidRPr="004961AD" w:rsidRDefault="004961AD" w:rsidP="004961AD">
      <w:pPr>
        <w:pStyle w:val="NormalWeb"/>
        <w:numPr>
          <w:ilvl w:val="0"/>
          <w:numId w:val="9"/>
        </w:numPr>
      </w:pPr>
      <w:r w:rsidRPr="004961AD">
        <w:t>Key informant interviews and focus group discussions</w:t>
      </w:r>
    </w:p>
    <w:p w:rsidR="004961AD" w:rsidRPr="004961AD" w:rsidRDefault="004961AD" w:rsidP="004961AD">
      <w:pPr>
        <w:pStyle w:val="NormalWeb"/>
        <w:numPr>
          <w:ilvl w:val="0"/>
          <w:numId w:val="9"/>
        </w:numPr>
      </w:pPr>
      <w:r w:rsidRPr="004961AD">
        <w:t>Stakeholder validation workshop to review findings</w:t>
      </w:r>
    </w:p>
    <w:p w:rsidR="004961AD" w:rsidRPr="004961AD" w:rsidRDefault="004961AD" w:rsidP="004961AD">
      <w:pPr>
        <w:pStyle w:val="Heading3"/>
        <w:rPr>
          <w:sz w:val="24"/>
          <w:szCs w:val="24"/>
        </w:rPr>
      </w:pPr>
      <w:r w:rsidRPr="004961AD">
        <w:rPr>
          <w:rStyle w:val="Strong"/>
          <w:b/>
          <w:bCs/>
          <w:sz w:val="24"/>
          <w:szCs w:val="24"/>
        </w:rPr>
        <w:t>Expected Deliverables</w:t>
      </w:r>
    </w:p>
    <w:p w:rsidR="004961AD" w:rsidRPr="004961AD" w:rsidRDefault="004961AD" w:rsidP="004961AD">
      <w:pPr>
        <w:pStyle w:val="NormalWeb"/>
        <w:numPr>
          <w:ilvl w:val="0"/>
          <w:numId w:val="10"/>
        </w:numPr>
      </w:pPr>
      <w:r w:rsidRPr="004961AD">
        <w:t>A comprehensive End-Term Malaria Program Review (MPR) report</w:t>
      </w:r>
    </w:p>
    <w:p w:rsidR="004961AD" w:rsidRPr="004961AD" w:rsidRDefault="004961AD" w:rsidP="004961AD">
      <w:pPr>
        <w:pStyle w:val="NormalWeb"/>
        <w:numPr>
          <w:ilvl w:val="0"/>
          <w:numId w:val="10"/>
        </w:numPr>
      </w:pPr>
      <w:r w:rsidRPr="004961AD">
        <w:t xml:space="preserve">An Aide </w:t>
      </w:r>
      <w:proofErr w:type="spellStart"/>
      <w:r w:rsidRPr="004961AD">
        <w:t>Mémoire</w:t>
      </w:r>
      <w:proofErr w:type="spellEnd"/>
      <w:r w:rsidRPr="004961AD">
        <w:t xml:space="preserve"> summarizing key findings and recommendations</w:t>
      </w:r>
    </w:p>
    <w:p w:rsidR="004961AD" w:rsidRPr="004961AD" w:rsidRDefault="004961AD" w:rsidP="004961AD">
      <w:pPr>
        <w:pStyle w:val="NormalWeb"/>
        <w:numPr>
          <w:ilvl w:val="0"/>
          <w:numId w:val="10"/>
        </w:numPr>
      </w:pPr>
      <w:r w:rsidRPr="004961AD">
        <w:t>Strategic guidance for the 2026–2030 National Malaria Strategic Plan</w:t>
      </w:r>
    </w:p>
    <w:p w:rsidR="004961AD" w:rsidRPr="004961AD" w:rsidRDefault="004961AD" w:rsidP="004961AD">
      <w:pPr>
        <w:pStyle w:val="NormalWeb"/>
        <w:numPr>
          <w:ilvl w:val="0"/>
          <w:numId w:val="10"/>
        </w:numPr>
      </w:pPr>
      <w:r w:rsidRPr="004961AD">
        <w:t xml:space="preserve">An evidence base to </w:t>
      </w:r>
      <w:r w:rsidR="00592321">
        <w:t>inform</w:t>
      </w:r>
      <w:r w:rsidRPr="004961AD">
        <w:t xml:space="preserve"> resource mobilization efforts</w:t>
      </w:r>
    </w:p>
    <w:p w:rsidR="004961AD" w:rsidRPr="004961AD" w:rsidRDefault="004961AD" w:rsidP="004961AD">
      <w:pPr>
        <w:pStyle w:val="Heading3"/>
        <w:rPr>
          <w:sz w:val="24"/>
          <w:szCs w:val="24"/>
        </w:rPr>
      </w:pPr>
      <w:r w:rsidRPr="004961AD">
        <w:rPr>
          <w:rStyle w:val="Strong"/>
          <w:b/>
          <w:bCs/>
          <w:sz w:val="24"/>
          <w:szCs w:val="24"/>
        </w:rPr>
        <w:t>Key Stakeholders</w:t>
      </w:r>
    </w:p>
    <w:p w:rsidR="004961AD" w:rsidRPr="004961AD" w:rsidRDefault="004961AD" w:rsidP="004961AD">
      <w:pPr>
        <w:pStyle w:val="NormalWeb"/>
        <w:numPr>
          <w:ilvl w:val="0"/>
          <w:numId w:val="11"/>
        </w:numPr>
      </w:pPr>
      <w:r w:rsidRPr="004961AD">
        <w:t>Ministry of Health / National Malaria Control Program</w:t>
      </w:r>
    </w:p>
    <w:p w:rsidR="004961AD" w:rsidRPr="004961AD" w:rsidRDefault="004961AD" w:rsidP="004961AD">
      <w:pPr>
        <w:pStyle w:val="NormalWeb"/>
        <w:numPr>
          <w:ilvl w:val="0"/>
          <w:numId w:val="11"/>
        </w:numPr>
      </w:pPr>
      <w:r w:rsidRPr="004961AD">
        <w:t>World Health Organization (WHO), Global Fund, UNICEF, Catholic Relief Services</w:t>
      </w:r>
    </w:p>
    <w:p w:rsidR="004961AD" w:rsidRPr="004961AD" w:rsidRDefault="004961AD" w:rsidP="004961AD">
      <w:pPr>
        <w:pStyle w:val="NormalWeb"/>
        <w:numPr>
          <w:ilvl w:val="0"/>
          <w:numId w:val="11"/>
        </w:numPr>
      </w:pPr>
      <w:r w:rsidRPr="004961AD">
        <w:t>County Health Teams and health facility staff</w:t>
      </w:r>
    </w:p>
    <w:p w:rsidR="004961AD" w:rsidRPr="004961AD" w:rsidRDefault="004961AD" w:rsidP="004961AD">
      <w:pPr>
        <w:pStyle w:val="NormalWeb"/>
        <w:numPr>
          <w:ilvl w:val="0"/>
          <w:numId w:val="11"/>
        </w:numPr>
      </w:pPr>
      <w:r w:rsidRPr="004961AD">
        <w:t>Community health workers and local leaders</w:t>
      </w:r>
    </w:p>
    <w:p w:rsidR="004961AD" w:rsidRPr="004961AD" w:rsidRDefault="004961AD" w:rsidP="004961AD">
      <w:pPr>
        <w:pStyle w:val="NormalWeb"/>
        <w:numPr>
          <w:ilvl w:val="0"/>
          <w:numId w:val="11"/>
        </w:numPr>
      </w:pPr>
      <w:r w:rsidRPr="004961AD">
        <w:t>Academic and research institutions, civil society, and private sector partners</w:t>
      </w:r>
    </w:p>
    <w:p w:rsidR="004961AD" w:rsidRDefault="004961AD" w:rsidP="004961AD">
      <w:pPr>
        <w:pStyle w:val="Heading3"/>
        <w:rPr>
          <w:rStyle w:val="Strong"/>
          <w:b/>
          <w:bCs/>
          <w:sz w:val="24"/>
          <w:szCs w:val="24"/>
        </w:rPr>
      </w:pPr>
    </w:p>
    <w:p w:rsidR="004961AD" w:rsidRPr="004961AD" w:rsidRDefault="004961AD" w:rsidP="004961AD">
      <w:pPr>
        <w:pStyle w:val="Heading3"/>
        <w:rPr>
          <w:sz w:val="24"/>
          <w:szCs w:val="24"/>
        </w:rPr>
      </w:pPr>
      <w:r w:rsidRPr="004961AD">
        <w:rPr>
          <w:rStyle w:val="Strong"/>
          <w:b/>
          <w:bCs/>
          <w:sz w:val="24"/>
          <w:szCs w:val="24"/>
        </w:rPr>
        <w:t>Timeline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41"/>
        <w:gridCol w:w="1602"/>
      </w:tblGrid>
      <w:tr w:rsidR="004961AD" w:rsidRPr="004961AD" w:rsidTr="004961AD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4961AD" w:rsidRPr="004961AD" w:rsidRDefault="004961A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961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Activity</w:t>
            </w:r>
          </w:p>
        </w:tc>
        <w:tc>
          <w:tcPr>
            <w:tcW w:w="0" w:type="auto"/>
            <w:vAlign w:val="center"/>
            <w:hideMark/>
          </w:tcPr>
          <w:p w:rsidR="004961AD" w:rsidRPr="004961AD" w:rsidRDefault="004961A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961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Timeline</w:t>
            </w:r>
          </w:p>
        </w:tc>
      </w:tr>
      <w:tr w:rsidR="004961AD" w:rsidRPr="004961AD" w:rsidTr="004961AD">
        <w:trPr>
          <w:tblCellSpacing w:w="15" w:type="dxa"/>
        </w:trPr>
        <w:tc>
          <w:tcPr>
            <w:tcW w:w="0" w:type="auto"/>
            <w:vAlign w:val="center"/>
            <w:hideMark/>
          </w:tcPr>
          <w:p w:rsidR="004961AD" w:rsidRPr="004961AD" w:rsidRDefault="004961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1AD">
              <w:rPr>
                <w:rFonts w:ascii="Times New Roman" w:hAnsi="Times New Roman" w:cs="Times New Roman"/>
                <w:sz w:val="24"/>
                <w:szCs w:val="24"/>
              </w:rPr>
              <w:t>Desk review and tool development</w:t>
            </w:r>
          </w:p>
        </w:tc>
        <w:tc>
          <w:tcPr>
            <w:tcW w:w="0" w:type="auto"/>
            <w:vAlign w:val="center"/>
            <w:hideMark/>
          </w:tcPr>
          <w:p w:rsidR="004961AD" w:rsidRPr="004961AD" w:rsidRDefault="004961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1AD">
              <w:rPr>
                <w:rFonts w:ascii="Times New Roman" w:hAnsi="Times New Roman" w:cs="Times New Roman"/>
                <w:sz w:val="24"/>
                <w:szCs w:val="24"/>
              </w:rPr>
              <w:t>December 2025</w:t>
            </w:r>
          </w:p>
        </w:tc>
      </w:tr>
      <w:tr w:rsidR="004961AD" w:rsidRPr="004961AD" w:rsidTr="004961AD">
        <w:trPr>
          <w:tblCellSpacing w:w="15" w:type="dxa"/>
        </w:trPr>
        <w:tc>
          <w:tcPr>
            <w:tcW w:w="0" w:type="auto"/>
            <w:vAlign w:val="center"/>
            <w:hideMark/>
          </w:tcPr>
          <w:p w:rsidR="004961AD" w:rsidRPr="004961AD" w:rsidRDefault="004961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1AD">
              <w:rPr>
                <w:rFonts w:ascii="Times New Roman" w:hAnsi="Times New Roman" w:cs="Times New Roman"/>
                <w:sz w:val="24"/>
                <w:szCs w:val="24"/>
              </w:rPr>
              <w:t>Field visits and data collection</w:t>
            </w:r>
          </w:p>
        </w:tc>
        <w:tc>
          <w:tcPr>
            <w:tcW w:w="0" w:type="auto"/>
            <w:vAlign w:val="center"/>
            <w:hideMark/>
          </w:tcPr>
          <w:p w:rsidR="004961AD" w:rsidRPr="004961AD" w:rsidRDefault="004961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1AD">
              <w:rPr>
                <w:rFonts w:ascii="Times New Roman" w:hAnsi="Times New Roman" w:cs="Times New Roman"/>
                <w:sz w:val="24"/>
                <w:szCs w:val="24"/>
              </w:rPr>
              <w:t>January 2026</w:t>
            </w:r>
          </w:p>
        </w:tc>
      </w:tr>
      <w:tr w:rsidR="004961AD" w:rsidRPr="004961AD" w:rsidTr="004961AD">
        <w:trPr>
          <w:tblCellSpacing w:w="15" w:type="dxa"/>
        </w:trPr>
        <w:tc>
          <w:tcPr>
            <w:tcW w:w="0" w:type="auto"/>
            <w:vAlign w:val="center"/>
            <w:hideMark/>
          </w:tcPr>
          <w:p w:rsidR="004961AD" w:rsidRPr="004961AD" w:rsidRDefault="004961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1AD">
              <w:rPr>
                <w:rFonts w:ascii="Times New Roman" w:hAnsi="Times New Roman" w:cs="Times New Roman"/>
                <w:sz w:val="24"/>
                <w:szCs w:val="24"/>
              </w:rPr>
              <w:t>Thematic analysis and report writing</w:t>
            </w:r>
          </w:p>
        </w:tc>
        <w:tc>
          <w:tcPr>
            <w:tcW w:w="0" w:type="auto"/>
            <w:vAlign w:val="center"/>
            <w:hideMark/>
          </w:tcPr>
          <w:p w:rsidR="004961AD" w:rsidRPr="004961AD" w:rsidRDefault="004961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1AD">
              <w:rPr>
                <w:rFonts w:ascii="Times New Roman" w:hAnsi="Times New Roman" w:cs="Times New Roman"/>
                <w:sz w:val="24"/>
                <w:szCs w:val="24"/>
              </w:rPr>
              <w:t>February 2026</w:t>
            </w:r>
          </w:p>
        </w:tc>
      </w:tr>
      <w:tr w:rsidR="004961AD" w:rsidRPr="004961AD" w:rsidTr="004961AD">
        <w:trPr>
          <w:tblCellSpacing w:w="15" w:type="dxa"/>
        </w:trPr>
        <w:tc>
          <w:tcPr>
            <w:tcW w:w="0" w:type="auto"/>
            <w:vAlign w:val="center"/>
            <w:hideMark/>
          </w:tcPr>
          <w:p w:rsidR="004961AD" w:rsidRPr="004961AD" w:rsidRDefault="004961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1AD">
              <w:rPr>
                <w:rFonts w:ascii="Times New Roman" w:hAnsi="Times New Roman" w:cs="Times New Roman"/>
                <w:sz w:val="24"/>
                <w:szCs w:val="24"/>
              </w:rPr>
              <w:t>Stakeholder validation and dissemination</w:t>
            </w:r>
          </w:p>
        </w:tc>
        <w:tc>
          <w:tcPr>
            <w:tcW w:w="0" w:type="auto"/>
            <w:vAlign w:val="center"/>
            <w:hideMark/>
          </w:tcPr>
          <w:p w:rsidR="004961AD" w:rsidRPr="004961AD" w:rsidRDefault="004961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1AD">
              <w:rPr>
                <w:rFonts w:ascii="Times New Roman" w:hAnsi="Times New Roman" w:cs="Times New Roman"/>
                <w:sz w:val="24"/>
                <w:szCs w:val="24"/>
              </w:rPr>
              <w:t>March 2026</w:t>
            </w:r>
          </w:p>
        </w:tc>
      </w:tr>
    </w:tbl>
    <w:p w:rsidR="00F30047" w:rsidRDefault="00F30047" w:rsidP="004961AD">
      <w:pPr>
        <w:pStyle w:val="Heading3"/>
        <w:rPr>
          <w:rStyle w:val="Strong"/>
          <w:b/>
          <w:bCs/>
          <w:sz w:val="24"/>
          <w:szCs w:val="24"/>
        </w:rPr>
      </w:pPr>
    </w:p>
    <w:p w:rsidR="004961AD" w:rsidRPr="004961AD" w:rsidRDefault="00F30047" w:rsidP="004961AD">
      <w:pPr>
        <w:pStyle w:val="Heading3"/>
        <w:rPr>
          <w:sz w:val="24"/>
          <w:szCs w:val="24"/>
        </w:rPr>
      </w:pPr>
      <w:r>
        <w:rPr>
          <w:rStyle w:val="Strong"/>
          <w:b/>
          <w:bCs/>
          <w:sz w:val="24"/>
          <w:szCs w:val="24"/>
        </w:rPr>
        <w:lastRenderedPageBreak/>
        <w:t>Qualification</w:t>
      </w:r>
      <w:r w:rsidR="004961AD" w:rsidRPr="004961AD">
        <w:rPr>
          <w:rStyle w:val="Strong"/>
          <w:b/>
          <w:bCs/>
          <w:sz w:val="24"/>
          <w:szCs w:val="24"/>
        </w:rPr>
        <w:t xml:space="preserve"> and Experience</w:t>
      </w:r>
    </w:p>
    <w:p w:rsidR="004961AD" w:rsidRPr="004961AD" w:rsidRDefault="004961AD" w:rsidP="004961AD">
      <w:pPr>
        <w:pStyle w:val="NormalWeb"/>
        <w:numPr>
          <w:ilvl w:val="0"/>
          <w:numId w:val="12"/>
        </w:numPr>
      </w:pPr>
      <w:r w:rsidRPr="004961AD">
        <w:t>Master’s degree in Public Health (MPH) or a related field</w:t>
      </w:r>
    </w:p>
    <w:p w:rsidR="004961AD" w:rsidRPr="004961AD" w:rsidRDefault="004961AD" w:rsidP="004961AD">
      <w:pPr>
        <w:pStyle w:val="NormalWeb"/>
        <w:numPr>
          <w:ilvl w:val="0"/>
          <w:numId w:val="12"/>
        </w:numPr>
      </w:pPr>
      <w:r w:rsidRPr="004961AD">
        <w:t xml:space="preserve">Minimum of </w:t>
      </w:r>
      <w:r w:rsidRPr="004961AD">
        <w:rPr>
          <w:rStyle w:val="Strong"/>
        </w:rPr>
        <w:t>five (5) years’ experience</w:t>
      </w:r>
      <w:r w:rsidRPr="004961AD">
        <w:t xml:space="preserve"> in public health program management</w:t>
      </w:r>
    </w:p>
    <w:p w:rsidR="004961AD" w:rsidRPr="004961AD" w:rsidRDefault="004961AD" w:rsidP="004961AD">
      <w:pPr>
        <w:pStyle w:val="NormalWeb"/>
        <w:numPr>
          <w:ilvl w:val="0"/>
          <w:numId w:val="12"/>
        </w:numPr>
      </w:pPr>
      <w:r w:rsidRPr="004961AD">
        <w:t>Demonstrated experience in malaria control programs, health systems strengthening, or program evaluations</w:t>
      </w:r>
    </w:p>
    <w:p w:rsidR="004961AD" w:rsidRPr="004961AD" w:rsidRDefault="004961AD" w:rsidP="004961AD">
      <w:pPr>
        <w:pStyle w:val="NormalWeb"/>
        <w:numPr>
          <w:ilvl w:val="0"/>
          <w:numId w:val="12"/>
        </w:numPr>
      </w:pPr>
      <w:r w:rsidRPr="004961AD">
        <w:t>Strong project management and coordination skills</w:t>
      </w:r>
    </w:p>
    <w:p w:rsidR="004961AD" w:rsidRPr="004961AD" w:rsidRDefault="004961AD" w:rsidP="004961AD">
      <w:pPr>
        <w:pStyle w:val="NormalWeb"/>
        <w:numPr>
          <w:ilvl w:val="0"/>
          <w:numId w:val="12"/>
        </w:numPr>
      </w:pPr>
      <w:r w:rsidRPr="004961AD">
        <w:t xml:space="preserve">Experience working with government institutions, </w:t>
      </w:r>
      <w:r w:rsidR="00F30047">
        <w:t xml:space="preserve">the </w:t>
      </w:r>
      <w:r w:rsidRPr="004961AD">
        <w:t>WHO, Global Fund, or development partners is an advantage</w:t>
      </w:r>
    </w:p>
    <w:p w:rsidR="004961AD" w:rsidRPr="004961AD" w:rsidRDefault="004961AD" w:rsidP="004961AD">
      <w:pPr>
        <w:pStyle w:val="NormalWeb"/>
        <w:numPr>
          <w:ilvl w:val="0"/>
          <w:numId w:val="12"/>
        </w:numPr>
      </w:pPr>
      <w:r w:rsidRPr="004961AD">
        <w:t>Excellent analytical, report writing, and stakeholder engagement skills</w:t>
      </w:r>
    </w:p>
    <w:p w:rsidR="004961AD" w:rsidRPr="004961AD" w:rsidRDefault="004961AD" w:rsidP="004961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961AD" w:rsidRPr="004961AD" w:rsidRDefault="004961AD" w:rsidP="004961A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961AD">
        <w:rPr>
          <w:rFonts w:ascii="Times New Roman" w:eastAsia="Times New Roman" w:hAnsi="Times New Roman" w:cs="Times New Roman"/>
          <w:b/>
          <w:bCs/>
          <w:sz w:val="24"/>
          <w:szCs w:val="24"/>
        </w:rPr>
        <w:t>Application Procedure</w:t>
      </w:r>
    </w:p>
    <w:p w:rsidR="004961AD" w:rsidRPr="004961AD" w:rsidRDefault="004961AD" w:rsidP="004961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61AD">
        <w:rPr>
          <w:rFonts w:ascii="Times New Roman" w:eastAsia="Times New Roman" w:hAnsi="Times New Roman" w:cs="Times New Roman"/>
          <w:sz w:val="24"/>
          <w:szCs w:val="24"/>
        </w:rPr>
        <w:t xml:space="preserve">Interested and qualified candidates should submit a </w:t>
      </w:r>
      <w:r w:rsidRPr="004961AD">
        <w:rPr>
          <w:rFonts w:ascii="Times New Roman" w:eastAsia="Times New Roman" w:hAnsi="Times New Roman" w:cs="Times New Roman"/>
          <w:b/>
          <w:bCs/>
          <w:sz w:val="24"/>
          <w:szCs w:val="24"/>
        </w:rPr>
        <w:t>cover letter</w:t>
      </w:r>
      <w:r w:rsidRPr="004961AD">
        <w:rPr>
          <w:rFonts w:ascii="Times New Roman" w:eastAsia="Times New Roman" w:hAnsi="Times New Roman" w:cs="Times New Roman"/>
          <w:sz w:val="24"/>
          <w:szCs w:val="24"/>
        </w:rPr>
        <w:t xml:space="preserve"> and </w:t>
      </w:r>
      <w:r w:rsidRPr="004961AD">
        <w:rPr>
          <w:rFonts w:ascii="Times New Roman" w:eastAsia="Times New Roman" w:hAnsi="Times New Roman" w:cs="Times New Roman"/>
          <w:b/>
          <w:bCs/>
          <w:sz w:val="24"/>
          <w:szCs w:val="24"/>
        </w:rPr>
        <w:t>detailed curriculum vitae (CV)</w:t>
      </w:r>
      <w:r w:rsidRPr="004961AD">
        <w:rPr>
          <w:rFonts w:ascii="Times New Roman" w:eastAsia="Times New Roman" w:hAnsi="Times New Roman" w:cs="Times New Roman"/>
          <w:sz w:val="24"/>
          <w:szCs w:val="24"/>
        </w:rPr>
        <w:t xml:space="preserve"> to the address below:</w:t>
      </w:r>
    </w:p>
    <w:p w:rsidR="004961AD" w:rsidRPr="004961AD" w:rsidRDefault="004961AD" w:rsidP="004961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61AD">
        <w:rPr>
          <w:rFonts w:ascii="Times New Roman" w:eastAsia="Times New Roman" w:hAnsi="Times New Roman" w:cs="Times New Roman"/>
          <w:b/>
          <w:bCs/>
          <w:sz w:val="24"/>
          <w:szCs w:val="24"/>
        </w:rPr>
        <w:t>Email:</w:t>
      </w:r>
      <w:r w:rsidRPr="004961AD">
        <w:rPr>
          <w:rFonts w:ascii="Times New Roman" w:eastAsia="Times New Roman" w:hAnsi="Times New Roman" w:cs="Times New Roman"/>
          <w:sz w:val="24"/>
          <w:szCs w:val="24"/>
        </w:rPr>
        <w:t xml:space="preserve"> mgdavis1966@gmail.com</w:t>
      </w:r>
      <w:r w:rsidRPr="004961AD">
        <w:rPr>
          <w:rFonts w:ascii="Times New Roman" w:eastAsia="Times New Roman" w:hAnsi="Times New Roman" w:cs="Times New Roman"/>
          <w:sz w:val="24"/>
          <w:szCs w:val="24"/>
        </w:rPr>
        <w:br/>
      </w:r>
      <w:r w:rsidRPr="004961AD">
        <w:rPr>
          <w:rFonts w:ascii="Times New Roman" w:eastAsia="Times New Roman" w:hAnsi="Times New Roman" w:cs="Times New Roman"/>
          <w:b/>
          <w:bCs/>
          <w:sz w:val="24"/>
          <w:szCs w:val="24"/>
        </w:rPr>
        <w:t>CC:</w:t>
      </w:r>
      <w:r w:rsidRPr="004961AD">
        <w:rPr>
          <w:rFonts w:ascii="Times New Roman" w:eastAsia="Times New Roman" w:hAnsi="Times New Roman" w:cs="Times New Roman"/>
          <w:sz w:val="24"/>
          <w:szCs w:val="24"/>
        </w:rPr>
        <w:t xml:space="preserve"> michaelsb2012@gmail.com</w:t>
      </w:r>
    </w:p>
    <w:p w:rsidR="004961AD" w:rsidRPr="004961AD" w:rsidRDefault="004961AD" w:rsidP="004961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61AD">
        <w:rPr>
          <w:rFonts w:ascii="Times New Roman" w:eastAsia="Times New Roman" w:hAnsi="Times New Roman" w:cs="Times New Roman"/>
          <w:b/>
          <w:bCs/>
          <w:sz w:val="24"/>
          <w:szCs w:val="24"/>
        </w:rPr>
        <w:t>Or submit hard copies to:</w:t>
      </w:r>
      <w:r w:rsidRPr="004961AD">
        <w:rPr>
          <w:rFonts w:ascii="Times New Roman" w:eastAsia="Times New Roman" w:hAnsi="Times New Roman" w:cs="Times New Roman"/>
          <w:sz w:val="24"/>
          <w:szCs w:val="24"/>
        </w:rPr>
        <w:br/>
      </w:r>
      <w:r w:rsidRPr="004961AD">
        <w:rPr>
          <w:rFonts w:ascii="Times New Roman" w:eastAsia="Times New Roman" w:hAnsi="Times New Roman" w:cs="Times New Roman"/>
          <w:b/>
          <w:bCs/>
          <w:sz w:val="24"/>
          <w:szCs w:val="24"/>
        </w:rPr>
        <w:t>Mr. Marvin Garbeh Davis, Sr.</w:t>
      </w:r>
      <w:r w:rsidRPr="004961AD">
        <w:rPr>
          <w:rFonts w:ascii="Times New Roman" w:eastAsia="Times New Roman" w:hAnsi="Times New Roman" w:cs="Times New Roman"/>
          <w:sz w:val="24"/>
          <w:szCs w:val="24"/>
        </w:rPr>
        <w:br/>
        <w:t>Deputy HR Director</w:t>
      </w:r>
      <w:r w:rsidRPr="004961AD">
        <w:rPr>
          <w:rFonts w:ascii="Times New Roman" w:eastAsia="Times New Roman" w:hAnsi="Times New Roman" w:cs="Times New Roman"/>
          <w:sz w:val="24"/>
          <w:szCs w:val="24"/>
        </w:rPr>
        <w:br/>
        <w:t>Ministry of Health (MOH)</w:t>
      </w:r>
      <w:r w:rsidRPr="004961AD">
        <w:rPr>
          <w:rFonts w:ascii="Times New Roman" w:eastAsia="Times New Roman" w:hAnsi="Times New Roman" w:cs="Times New Roman"/>
          <w:sz w:val="24"/>
          <w:szCs w:val="24"/>
        </w:rPr>
        <w:br/>
        <w:t>Room 318</w:t>
      </w:r>
    </w:p>
    <w:p w:rsidR="004961AD" w:rsidRPr="004961AD" w:rsidRDefault="004961AD" w:rsidP="004961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61AD">
        <w:rPr>
          <w:rFonts w:ascii="Times New Roman" w:eastAsia="Times New Roman" w:hAnsi="Times New Roman" w:cs="Times New Roman"/>
          <w:sz w:val="24"/>
          <w:szCs w:val="24"/>
        </w:rPr>
        <w:t xml:space="preserve">Applications must be submitted </w:t>
      </w:r>
      <w:r w:rsidR="00F30047">
        <w:rPr>
          <w:rFonts w:ascii="Times New Roman" w:eastAsia="Times New Roman" w:hAnsi="Times New Roman" w:cs="Times New Roman"/>
          <w:b/>
          <w:bCs/>
          <w:sz w:val="24"/>
          <w:szCs w:val="24"/>
        </w:rPr>
        <w:t>no</w:t>
      </w:r>
      <w:r w:rsidRPr="004961A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F30047">
        <w:rPr>
          <w:rFonts w:ascii="Times New Roman" w:eastAsia="Times New Roman" w:hAnsi="Times New Roman" w:cs="Times New Roman"/>
          <w:b/>
          <w:bCs/>
          <w:sz w:val="24"/>
          <w:szCs w:val="24"/>
        </w:rPr>
        <w:t>later than Wednesday, January 12</w:t>
      </w:r>
      <w:r w:rsidRPr="004961AD">
        <w:rPr>
          <w:rFonts w:ascii="Times New Roman" w:eastAsia="Times New Roman" w:hAnsi="Times New Roman" w:cs="Times New Roman"/>
          <w:b/>
          <w:bCs/>
          <w:sz w:val="24"/>
          <w:szCs w:val="24"/>
        </w:rPr>
        <w:t>, at the close of business</w:t>
      </w:r>
      <w:r w:rsidR="0005187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(5PM GMT)</w:t>
      </w:r>
      <w:r w:rsidRPr="004961AD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4961AD">
        <w:rPr>
          <w:rFonts w:ascii="Times New Roman" w:eastAsia="Times New Roman" w:hAnsi="Times New Roman" w:cs="Times New Roman"/>
          <w:sz w:val="24"/>
          <w:szCs w:val="24"/>
        </w:rPr>
        <w:br/>
        <w:t>Only shortlisted candidates will be contacted.</w:t>
      </w:r>
    </w:p>
    <w:p w:rsidR="009B5850" w:rsidRPr="004961AD" w:rsidRDefault="009B5850">
      <w:pPr>
        <w:rPr>
          <w:rFonts w:ascii="Times New Roman" w:hAnsi="Times New Roman" w:cs="Times New Roman"/>
          <w:sz w:val="24"/>
          <w:szCs w:val="24"/>
        </w:rPr>
      </w:pPr>
    </w:p>
    <w:sectPr w:rsidR="009B5850" w:rsidRPr="004961A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72342"/>
    <w:multiLevelType w:val="multilevel"/>
    <w:tmpl w:val="9808F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C3219E"/>
    <w:multiLevelType w:val="multilevel"/>
    <w:tmpl w:val="CA5CA8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EB309D"/>
    <w:multiLevelType w:val="multilevel"/>
    <w:tmpl w:val="503ED7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03A26FE"/>
    <w:multiLevelType w:val="multilevel"/>
    <w:tmpl w:val="399474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D165F96"/>
    <w:multiLevelType w:val="multilevel"/>
    <w:tmpl w:val="73FAA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F16257C"/>
    <w:multiLevelType w:val="multilevel"/>
    <w:tmpl w:val="8796F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5EF60EC"/>
    <w:multiLevelType w:val="multilevel"/>
    <w:tmpl w:val="3134FA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27F3E84"/>
    <w:multiLevelType w:val="multilevel"/>
    <w:tmpl w:val="099E5B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E9270BB"/>
    <w:multiLevelType w:val="multilevel"/>
    <w:tmpl w:val="FA343F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A505113"/>
    <w:multiLevelType w:val="multilevel"/>
    <w:tmpl w:val="20D28F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3ED2120"/>
    <w:multiLevelType w:val="multilevel"/>
    <w:tmpl w:val="EEDCF2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5E64CA1"/>
    <w:multiLevelType w:val="multilevel"/>
    <w:tmpl w:val="106673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6"/>
  </w:num>
  <w:num w:numId="3">
    <w:abstractNumId w:val="2"/>
  </w:num>
  <w:num w:numId="4">
    <w:abstractNumId w:val="4"/>
  </w:num>
  <w:num w:numId="5">
    <w:abstractNumId w:val="8"/>
  </w:num>
  <w:num w:numId="6">
    <w:abstractNumId w:val="9"/>
  </w:num>
  <w:num w:numId="7">
    <w:abstractNumId w:val="3"/>
  </w:num>
  <w:num w:numId="8">
    <w:abstractNumId w:val="11"/>
  </w:num>
  <w:num w:numId="9">
    <w:abstractNumId w:val="10"/>
  </w:num>
  <w:num w:numId="10">
    <w:abstractNumId w:val="0"/>
  </w:num>
  <w:num w:numId="11">
    <w:abstractNumId w:val="5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61AD"/>
    <w:rsid w:val="0005187F"/>
    <w:rsid w:val="0034779F"/>
    <w:rsid w:val="004961AD"/>
    <w:rsid w:val="00592321"/>
    <w:rsid w:val="009B5850"/>
    <w:rsid w:val="00A7150A"/>
    <w:rsid w:val="00AB5BA9"/>
    <w:rsid w:val="00F30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C20E35"/>
  <w15:chartTrackingRefBased/>
  <w15:docId w15:val="{8C01971D-2C81-492B-A2FC-0B2C60421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961A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4961A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4961AD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4961AD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4961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961A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itle">
    <w:name w:val="Title"/>
    <w:basedOn w:val="Normal"/>
    <w:link w:val="TitleChar"/>
    <w:uiPriority w:val="10"/>
    <w:qFormat/>
    <w:rsid w:val="004961AD"/>
    <w:pPr>
      <w:widowControl w:val="0"/>
      <w:autoSpaceDE w:val="0"/>
      <w:autoSpaceDN w:val="0"/>
      <w:spacing w:after="0" w:line="644" w:lineRule="exact"/>
      <w:ind w:left="116"/>
    </w:pPr>
    <w:rPr>
      <w:rFonts w:ascii="Times New Roman" w:eastAsia="Times New Roman" w:hAnsi="Times New Roman" w:cs="Times New Roman"/>
      <w:b/>
      <w:bCs/>
      <w:sz w:val="62"/>
      <w:szCs w:val="62"/>
    </w:rPr>
  </w:style>
  <w:style w:type="character" w:customStyle="1" w:styleId="TitleChar">
    <w:name w:val="Title Char"/>
    <w:basedOn w:val="DefaultParagraphFont"/>
    <w:link w:val="Title"/>
    <w:uiPriority w:val="10"/>
    <w:rsid w:val="004961AD"/>
    <w:rPr>
      <w:rFonts w:ascii="Times New Roman" w:eastAsia="Times New Roman" w:hAnsi="Times New Roman" w:cs="Times New Roman"/>
      <w:b/>
      <w:bCs/>
      <w:sz w:val="62"/>
      <w:szCs w:val="6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4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07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923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482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4</Pages>
  <Words>758</Words>
  <Characters>4324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Garbeh Davis</dc:creator>
  <cp:keywords/>
  <dc:description/>
  <cp:lastModifiedBy>Lenevo-T14</cp:lastModifiedBy>
  <cp:revision>6</cp:revision>
  <dcterms:created xsi:type="dcterms:W3CDTF">2026-01-06T12:47:00Z</dcterms:created>
  <dcterms:modified xsi:type="dcterms:W3CDTF">2026-01-06T14:32:00Z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0a5b47c3-6e7a-46d9-827e-cd7bd3f73520</vt:lpwstr>
  </property>
</Properties>
</file>